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bookmarkStart w:id="0" w:name="__UnoMark__163_1330896094"/>
      <w:bookmarkStart w:id="1" w:name="__UnoMark__163_1330896094"/>
      <w:bookmarkEnd w:id="1"/>
      <w:r>
        <w:rPr/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BRYNMAWR TOWN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MONTHLY  MEETING OF THE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21  APRIL 2021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A  G  E  N  D  A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  <w:tab/>
        <w:t>To receive Apologies.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2.</w:t>
        <w:tab/>
      </w:r>
      <w:r>
        <w:rPr>
          <w:b/>
          <w:bCs/>
          <w:i/>
          <w:iCs/>
          <w:u w:val="single"/>
          <w:lang w:val="en-GB"/>
        </w:rPr>
        <w:t>Declaration of interest and Dispensations.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>To consider any declarations of interest and dispensations made.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720" w:right="0" w:hanging="720"/>
        <w:rPr>
          <w:lang w:val="en-GB"/>
        </w:rPr>
      </w:pPr>
      <w:r>
        <w:rPr>
          <w:b/>
          <w:bCs/>
          <w:i/>
          <w:iCs/>
          <w:lang w:val="en-GB"/>
        </w:rPr>
        <w:t>3.</w:t>
      </w:r>
      <w:r>
        <w:rPr>
          <w:lang w:val="en-GB"/>
        </w:rPr>
        <w:tab/>
        <w:t>To confirm the Minutes of the Monthly Meeting taken on Wednesday, 24 March 2021 as a true record of the proceedings.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4.</w:t>
        <w:tab/>
        <w:t>Corrections.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i/>
          <w:lang w:val="en-GB"/>
        </w:rPr>
        <w:t>5</w:t>
      </w:r>
      <w:r>
        <w:rPr>
          <w:i/>
          <w:lang w:val="en-GB"/>
        </w:rPr>
        <w:t>.</w:t>
      </w:r>
      <w:r>
        <w:rPr>
          <w:lang w:val="en-GB"/>
        </w:rPr>
        <w:t xml:space="preserve">        </w:t>
      </w:r>
      <w:r>
        <w:rPr>
          <w:b/>
          <w:bCs/>
          <w:i/>
          <w:iCs/>
          <w:lang w:val="en-GB"/>
        </w:rPr>
        <w:t>Matters Arising from the Minutes.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6.</w:t>
        <w:tab/>
      </w:r>
      <w:r>
        <w:rPr>
          <w:b/>
          <w:bCs/>
          <w:i/>
          <w:iCs/>
          <w:u w:val="single"/>
          <w:lang w:val="en-GB"/>
        </w:rPr>
        <w:t>Orders &amp; Requisitions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ab/>
        <w:t>(a)</w:t>
        <w:tab/>
        <w:t>Information Commissioners Office – Renew Registration 2021/2022 – £40.00.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ab/>
        <w:t>(b)</w:t>
        <w:tab/>
        <w:t xml:space="preserve">One Voice Wales – Membership – 2021-2022. Wrong invoice sent. Extra £29.00 for the </w:t>
        <w:tab/>
        <w:tab/>
        <w:tab/>
        <w:t xml:space="preserve">year 2021/2022 to be paid.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7.</w:t>
        <w:tab/>
      </w:r>
      <w:r>
        <w:rPr>
          <w:b/>
          <w:bCs/>
          <w:i/>
          <w:iCs/>
          <w:u w:val="single"/>
          <w:lang w:val="en-GB"/>
        </w:rPr>
        <w:t>Financial 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lang w:val="en-GB"/>
        </w:rPr>
      </w:pPr>
      <w:r>
        <w:rPr>
          <w:lang w:val="en-GB"/>
        </w:rPr>
        <w:tab/>
        <w:t>(a)</w:t>
        <w:tab/>
        <w:t xml:space="preserve">Independent Remuneration Panel for Wales – Payments to Members of </w:t>
        <w:tab/>
        <w:tab/>
        <w:tab/>
        <w:tab/>
        <w:tab/>
        <w:t xml:space="preserve">Community/Town Councils 2021/2022 – Decision making to accept payment or opt out </w:t>
        <w:tab/>
        <w:tab/>
        <w:tab/>
        <w:t>of receiving payments.(The Town Council Opted Out of this agreement last year.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ab/>
        <w:t>(b)</w:t>
        <w:tab/>
        <w:t xml:space="preserve"> Council to consider purchase of a Memorial Bench for Councillor T.S. Hughes.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8.</w:t>
        <w:tab/>
      </w:r>
      <w:r>
        <w:rPr>
          <w:b/>
          <w:bCs/>
          <w:i/>
          <w:iCs/>
          <w:u w:val="single"/>
          <w:lang w:val="en-GB"/>
        </w:rPr>
        <w:t>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 w:val="false"/>
          <w:bCs w:val="false"/>
          <w:i w:val="false"/>
          <w:iCs w:val="false"/>
          <w:lang w:val="en-GB"/>
        </w:rPr>
        <w:t>(a)</w:t>
        <w:tab/>
        <w:t xml:space="preserve">Notice of Declaration of Vacancy for one seat in the Brynmawr, North Ward has been </w:t>
        <w:tab/>
        <w:tab/>
        <w:tab/>
        <w:t>forwarded the Ms. Michelle Morris, Returning Officer, BGCBC.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(b)</w:t>
        <w:tab/>
        <w:t xml:space="preserve">Armistice Day Event - November 2021.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(c)</w:t>
        <w:tab/>
        <w:t xml:space="preserve">Correspondence received from Ms. Irene Jones, Governor Support &amp; Development </w:t>
        <w:tab/>
        <w:tab/>
        <w:tab/>
        <w:t>Officer – Council to appoint a new representative of Brynmawr Town Council on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ab/>
        <w:t xml:space="preserve">the Blaen-y-Cwm School, Brynmawr Governors.  The vacancy is due to the resignation </w:t>
        <w:tab/>
        <w:tab/>
        <w:tab/>
        <w:t>of Councillor M.I. Morgan.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(d)</w:t>
        <w:tab/>
        <w:t>Planning Application – 157 Worcester Street, Brynmawr.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ab/>
        <w:t>Construct two storey side extension to comprise of garage, two bedrooms and bathroom.</w:t>
      </w:r>
    </w:p>
    <w:p>
      <w:pPr>
        <w:pStyle w:val="Normal"/>
        <w:ind w:left="0" w:right="0" w:hanging="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-   2   -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0" w:right="0" w:hanging="0"/>
        <w:rPr>
          <w:lang w:val="en-GB"/>
        </w:rPr>
      </w:pPr>
      <w:r>
        <w:rPr>
          <w:lang w:val="en-GB"/>
        </w:rPr>
        <w:tab/>
        <w:t>(e)</w:t>
        <w:tab/>
        <w:t>Urgent correspondence received by the Clerk after preparation of Agenda.</w:t>
      </w:r>
    </w:p>
    <w:p>
      <w:pPr>
        <w:pStyle w:val="Normal"/>
        <w:ind w:left="1440" w:right="0" w:hanging="0"/>
        <w:rPr>
          <w:lang w:val="en-GB"/>
        </w:rPr>
      </w:pPr>
      <w:r>
        <w:rPr>
          <w:lang w:val="en-GB"/>
        </w:rPr>
        <w:t>(By permission of the Chair).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lang w:val="en-GB"/>
        </w:rPr>
      </w:pPr>
      <w:r>
        <w:rPr>
          <w:lang w:val="en-GB"/>
        </w:rPr>
        <w:tab/>
        <w:t>(f)</w:t>
        <w:tab/>
        <w:t>Planning Applications received after preparation of Agenda.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9.</w:t>
      </w:r>
      <w:r>
        <w:rPr>
          <w:lang w:val="en-GB"/>
        </w:rPr>
        <w:tab/>
      </w:r>
      <w:r>
        <w:rPr>
          <w:b/>
          <w:bCs/>
          <w:i/>
          <w:iCs/>
          <w:u w:val="single"/>
          <w:lang w:val="en-GB"/>
        </w:rPr>
        <w:t>Reports.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 w:val="false"/>
          <w:bCs w:val="false"/>
          <w:i w:val="false"/>
          <w:iCs w:val="false"/>
          <w:u w:val="none"/>
          <w:lang w:val="en-GB"/>
        </w:rPr>
      </w:pPr>
      <w:r>
        <w:rPr>
          <w:lang w:val="en-GB"/>
        </w:rPr>
        <w:tab/>
        <w:t>(a)</w:t>
        <w:tab/>
        <w:t xml:space="preserve">Planning &amp; Urgent Matters Meeting - Wednesday, 07 April 2021 at </w:t>
      </w:r>
      <w:r>
        <w:rPr>
          <w:b w:val="false"/>
          <w:bCs w:val="false"/>
          <w:i w:val="false"/>
          <w:iCs w:val="false"/>
          <w:u w:val="none"/>
          <w:lang w:val="en-GB"/>
        </w:rPr>
        <w:t xml:space="preserve">6.00 pm via Starleaf </w:t>
        <w:tab/>
        <w:tab/>
        <w:t>Video Conference App.</w:t>
      </w:r>
    </w:p>
    <w:p>
      <w:pPr>
        <w:pStyle w:val="Normal"/>
        <w:rPr>
          <w:lang w:val="en-GB"/>
        </w:rPr>
      </w:pPr>
      <w:r>
        <w:rPr>
          <w:b w:val="false"/>
          <w:bCs w:val="false"/>
          <w:i w:val="false"/>
          <w:iCs w:val="false"/>
          <w:u w:val="none"/>
          <w:lang w:val="en-GB"/>
        </w:rPr>
        <w:tab/>
        <w:tab/>
      </w:r>
      <w:r>
        <w:rPr>
          <w:lang w:val="en-GB"/>
        </w:rPr>
        <w:t>(Cancelled).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</w:p>
    <w:p>
      <w:pPr>
        <w:pStyle w:val="Normal"/>
        <w:rPr>
          <w:b/>
          <w:bCs/>
          <w:i/>
          <w:iCs/>
          <w:u w:val="none"/>
          <w:lang w:val="en-GB"/>
        </w:rPr>
      </w:pPr>
      <w:r>
        <w:rPr>
          <w:b/>
          <w:bCs/>
          <w:i/>
          <w:iCs/>
          <w:u w:val="none"/>
          <w:lang w:val="en-GB"/>
        </w:rPr>
        <w:tab/>
        <w:tab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7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10.</w:t>
      </w:r>
      <w:r>
        <w:rPr>
          <w:lang w:val="en-GB"/>
        </w:rPr>
        <w:tab/>
      </w:r>
      <w:r>
        <w:rPr>
          <w:b/>
          <w:bCs/>
          <w:i/>
          <w:iCs/>
          <w:lang w:val="en-GB"/>
        </w:rPr>
        <w:t>CONFIDENTIAL INFORMATION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  <w:tab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>
          <w:b/>
          <w:bCs/>
          <w:i/>
          <w:iCs/>
        </w:rPr>
      </w:pPr>
      <w:r>
        <w:rPr>
          <w:b/>
          <w:bCs/>
          <w:i/>
          <w:iCs/>
        </w:rPr>
        <w:tab/>
        <w:t>THE FOLLOWING ITEMS MAY CONTAIN INFORMATION THAT IS OF A CONFIDENTIAL OR PERSONAL NATURE AND IS THEREFORE EXCLUSIVE TO MEMBERS OF THE TOWN COUNCIL ONLY.</w:t>
      </w:r>
    </w:p>
    <w:p>
      <w:pPr>
        <w:pStyle w:val="Normal"/>
        <w:ind w:left="720" w:right="0" w:hanging="720"/>
        <w:rPr>
          <w:b/>
          <w:bCs/>
          <w:i/>
          <w:iCs/>
        </w:rPr>
      </w:pPr>
      <w:r>
        <w:rPr>
          <w:b/>
          <w:bCs/>
          <w:i/>
          <w:iCs/>
        </w:rPr>
        <w:tab/>
        <w:t>(PUBLIC BODIES ADMISSION TO MEETINGS) ACT 1960.</w:t>
      </w:r>
    </w:p>
    <w:p>
      <w:pPr>
        <w:pStyle w:val="Normal"/>
        <w:ind w:left="720" w:right="0" w:hanging="7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i/>
      <w:iCs/>
      <w:u w:val="single"/>
      <w:lang w:val="en-GB"/>
    </w:rPr>
  </w:style>
  <w:style w:type="paragraph" w:styleId="Heading2">
    <w:name w:val="Heading 2"/>
    <w:basedOn w:val="Normal"/>
    <w:next w:val="Normal"/>
    <w:pPr>
      <w:keepNext/>
      <w:ind w:left="720" w:right="0" w:hanging="0"/>
      <w:outlineLvl w:val="1"/>
    </w:pPr>
    <w:rPr>
      <w:b/>
      <w:bCs/>
      <w:i/>
      <w:iCs/>
      <w:u w:val="single"/>
      <w:lang w:val="en-GB"/>
    </w:rPr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2017-03-30T10:59:37Z</dcterms:created>
  <dc:language>en-US</dc:language>
  <cp:lastPrinted>2021-04-21T17:53:39Z</cp:lastPrinted>
  <cp:revision>0</cp:revision>
</cp:coreProperties>
</file>